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43" w:rsidRDefault="00F71597">
      <w:r>
        <w:rPr>
          <w:rStyle w:val="Betont"/>
          <w:rFonts w:eastAsia="Times New Roman" w:cs="Times New Roman"/>
        </w:rPr>
        <w:t>La presente procura viene rilasciata all’ avvocato nella causa sequente allo scopo di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Style w:val="Betont"/>
          <w:rFonts w:eastAsia="Times New Roman" w:cs="Times New Roman"/>
        </w:rPr>
        <w:t>causa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1.    rappresentare il sottoscritto in rito (ai sensi del § 81 e segg. del Codice di procedura civile tedesco) compresa la facoltà di sollevare e ritirare domande riconvenzionali</w:t>
      </w:r>
      <w:proofErr w:type="gramStart"/>
      <w:r>
        <w:rPr>
          <w:rFonts w:eastAsia="Times New Roman" w:cs="Times New Roman"/>
        </w:rPr>
        <w:t>;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2.    depositare le domande in causa di divorzio e le domande relative alle conseguenze del divorzio; stipulare accordi riguardo alle conseguenze del divorzio; richiedere informazioni sulla pensione o sul conguaglio della previdenza in caso di divorzio;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3.    rappresentare e difendere il sottoscritto nelle cause penali ovvero nelle cause e nei provvedirnenti amministrativi per multe (§§ 302, 374 del Codice di procedura penale tedesco), compreso il procedimento d'istruzione; rappresentare il sottoscritto (in sua eventuale assenza) ai sensi del § 411 II del Codice di proc. penale tedesco, con espressa autorizzazione - anche ai sensi dei §§ 233 f, 234 Codice proc. penale - a presentare querele ed a sollevare altre eccezioni ammesse ai sensi della procedura penale; presentare domande ai sensi della legge sugli indennizzi dovuti a seguito di azioni penali, in modo speciale nel procedimento di fissazione dell'importo dell'indennizzo stesso;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4.    rappresentare il sottoscritto in altri procedimenti, comprese le trattative stragiudiziali di tutti i generl (rappresentare il sottoscritto specialmente nel caso di sinistri, presentando le relative richieste di danni al responsabile del danno, al proprietario del veicolo ed alla loro assicurazione);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5.    motivare e revocare rapporti contrattuali; rilasciare e ricevere atti di volontà unilaterali (ad esempio disdette) riguardanti la causa civile/penale sopra citata.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La presente procura vale per tutte le istanze; essa si estende anche ai procedimenti accessori e conseguenti di qualsiasi genere (ad esempio sequestri, arresti e provvedimenti di urgenza; la presente procura si estende ai procedimenti di fissazione del valore del contenzioso e dei costi, ai procedimenti di esecuzione forzata e di amministrazione coatta; si estende ai provvedimenti riguardanti la bancarotta fraudolenta ed il concordato in merito al patrimonio dell' avversario). La presente procura comprende in modo speciale la facoltà di richiedere e ricevere notifiche; comprende la facoltà di trasmettere la procura in toto o in parte ad altre persone (subprocura); comprende la facoltà di sollevare e ritirare opposizioni oppure di rinunciare ad esse; comprende la facoltà di concludere la lite oppure le trattative stragiudiziali mediante concordato, rinuncia ovvero riconoscimento; comprende la facoltà di prendere in consegna valori contanti, valori in genere ed atti; comprende in modo speciale la facoltà di prendere in consegna I'oggetto del contendere come pure gli importi che vengano rimborsati dall'avversario, dalla cassa del tribunale ovvero da altri organi; comprende la facoltà di visionare I'incartamento.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---------------------------------------------------</w:t>
      </w:r>
      <w:r>
        <w:rPr>
          <w:rFonts w:eastAsia="Times New Roman" w:cs="Times New Roman"/>
        </w:rPr>
        <w:br/>
        <w:t>Luogo                               data</w:t>
      </w:r>
      <w:bookmarkStart w:id="0" w:name="_GoBack"/>
      <w:bookmarkEnd w:id="0"/>
    </w:p>
    <w:sectPr w:rsidR="00B61543" w:rsidSect="007D25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97"/>
    <w:rsid w:val="007D2565"/>
    <w:rsid w:val="00B61543"/>
    <w:rsid w:val="00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A1F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715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71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Jerman</dc:creator>
  <cp:keywords/>
  <dc:description/>
  <cp:lastModifiedBy>David Jerman</cp:lastModifiedBy>
  <cp:revision>1</cp:revision>
  <cp:lastPrinted>2015-06-27T10:46:00Z</cp:lastPrinted>
  <dcterms:created xsi:type="dcterms:W3CDTF">2015-06-27T10:45:00Z</dcterms:created>
  <dcterms:modified xsi:type="dcterms:W3CDTF">2015-06-27T10:46:00Z</dcterms:modified>
</cp:coreProperties>
</file>